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-1</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313" w:afterLines="100" w:line="440" w:lineRule="exact"/>
        <w:jc w:val="center"/>
        <w:textAlignment w:val="auto"/>
        <w:rPr>
          <w:rFonts w:hint="eastAsia" w:ascii="黑体" w:eastAsia="黑体"/>
          <w:sz w:val="32"/>
          <w:szCs w:val="32"/>
          <w:lang w:eastAsia="zh-CN"/>
        </w:rPr>
      </w:pPr>
      <w:r>
        <w:rPr>
          <w:rFonts w:hint="eastAsia" w:ascii="黑体" w:eastAsia="黑体"/>
          <w:sz w:val="32"/>
          <w:szCs w:val="32"/>
          <w:lang w:eastAsia="zh-CN"/>
        </w:rPr>
        <w:t>“</w:t>
      </w:r>
      <w:r>
        <w:rPr>
          <w:rFonts w:hint="eastAsia" w:ascii="黑体" w:eastAsia="黑体"/>
          <w:sz w:val="32"/>
          <w:szCs w:val="32"/>
        </w:rPr>
        <w:t>课程思政</w:t>
      </w:r>
      <w:r>
        <w:rPr>
          <w:rFonts w:hint="eastAsia" w:ascii="黑体" w:eastAsia="黑体"/>
          <w:sz w:val="32"/>
          <w:szCs w:val="32"/>
          <w:lang w:eastAsia="zh-CN"/>
        </w:rPr>
        <w:t>”教学设计方案</w:t>
      </w:r>
      <w:r>
        <w:rPr>
          <w:rFonts w:hint="eastAsia" w:ascii="黑体" w:eastAsia="黑体"/>
          <w:sz w:val="32"/>
          <w:szCs w:val="32"/>
        </w:rPr>
        <w:t>评</w:t>
      </w:r>
      <w:r>
        <w:rPr>
          <w:rFonts w:hint="eastAsia" w:ascii="黑体" w:eastAsia="黑体"/>
          <w:sz w:val="32"/>
          <w:szCs w:val="32"/>
          <w:lang w:eastAsia="zh-CN"/>
        </w:rPr>
        <w:t>价</w:t>
      </w:r>
      <w:r>
        <w:rPr>
          <w:rFonts w:hint="eastAsia" w:ascii="黑体" w:eastAsia="黑体"/>
          <w:sz w:val="32"/>
          <w:szCs w:val="32"/>
        </w:rPr>
        <w:t>标准</w:t>
      </w:r>
      <w:r>
        <w:rPr>
          <w:rFonts w:hint="eastAsia" w:ascii="黑体" w:eastAsia="黑体"/>
          <w:sz w:val="32"/>
          <w:szCs w:val="32"/>
          <w:lang w:eastAsia="zh-CN"/>
        </w:rPr>
        <w:t>及评分表</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40" w:lineRule="auto"/>
        <w:ind w:firstLine="1440" w:firstLineChars="600"/>
        <w:jc w:val="both"/>
        <w:textAlignment w:val="auto"/>
        <w:rPr>
          <w:rFonts w:hint="eastAsia" w:ascii="黑体" w:eastAsia="黑体"/>
          <w:sz w:val="32"/>
          <w:szCs w:val="32"/>
          <w:lang w:eastAsia="zh-CN"/>
        </w:rPr>
      </w:pPr>
      <w:r>
        <w:rPr>
          <w:rFonts w:hint="eastAsia" w:ascii="黑体" w:eastAsia="黑体"/>
          <w:sz w:val="24"/>
          <w:szCs w:val="24"/>
          <w:lang w:eastAsia="zh-CN"/>
        </w:rPr>
        <w:t>序号</w:t>
      </w:r>
      <w:r>
        <w:rPr>
          <w:rFonts w:hint="eastAsia" w:ascii="黑体" w:eastAsia="黑体"/>
          <w:sz w:val="24"/>
          <w:szCs w:val="24"/>
          <w:u w:val="single"/>
          <w:lang w:val="en-US" w:eastAsia="zh-CN"/>
        </w:rPr>
        <w:t xml:space="preserve">         </w:t>
      </w:r>
      <w:r>
        <w:rPr>
          <w:rFonts w:hint="eastAsia" w:ascii="黑体" w:eastAsia="黑体"/>
          <w:sz w:val="24"/>
          <w:szCs w:val="24"/>
          <w:u w:val="none"/>
          <w:lang w:val="en-US" w:eastAsia="zh-CN"/>
        </w:rPr>
        <w:t xml:space="preserve">               参赛教师</w:t>
      </w:r>
      <w:r>
        <w:rPr>
          <w:rFonts w:hint="eastAsia" w:ascii="黑体" w:eastAsia="黑体"/>
          <w:sz w:val="24"/>
          <w:szCs w:val="24"/>
          <w:u w:val="single"/>
          <w:lang w:val="en-US" w:eastAsia="zh-CN"/>
        </w:rPr>
        <w:t xml:space="preserve">                </w:t>
      </w:r>
    </w:p>
    <w:tbl>
      <w:tblPr>
        <w:tblStyle w:val="4"/>
        <w:tblW w:w="10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09"/>
        <w:gridCol w:w="7410"/>
        <w:gridCol w:w="49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79" w:type="dxa"/>
            <w:vAlign w:val="center"/>
          </w:tcPr>
          <w:p>
            <w:pPr>
              <w:widowControl/>
              <w:spacing w:line="320" w:lineRule="exact"/>
              <w:jc w:val="center"/>
              <w:rPr>
                <w:rFonts w:hint="eastAsia" w:ascii="黑体" w:hAnsi="宋体" w:eastAsia="黑体" w:cs="宋体"/>
                <w:color w:val="000000"/>
                <w:kern w:val="0"/>
                <w:sz w:val="24"/>
                <w:lang w:eastAsia="zh-CN"/>
              </w:rPr>
            </w:pPr>
            <w:r>
              <w:rPr>
                <w:rFonts w:hint="eastAsia" w:ascii="黑体" w:hAnsi="宋体" w:eastAsia="黑体" w:cs="宋体"/>
                <w:color w:val="000000"/>
                <w:kern w:val="0"/>
                <w:sz w:val="24"/>
                <w:lang w:eastAsia="zh-CN"/>
              </w:rPr>
              <w:t>评价项目</w:t>
            </w:r>
          </w:p>
        </w:tc>
        <w:tc>
          <w:tcPr>
            <w:tcW w:w="1209" w:type="dxa"/>
            <w:vAlign w:val="center"/>
          </w:tcPr>
          <w:p>
            <w:pPr>
              <w:widowControl/>
              <w:spacing w:line="320" w:lineRule="exact"/>
              <w:jc w:val="center"/>
              <w:rPr>
                <w:rFonts w:hint="eastAsia" w:ascii="黑体" w:hAnsi="宋体" w:eastAsia="黑体" w:cs="宋体"/>
                <w:color w:val="000000"/>
                <w:kern w:val="0"/>
                <w:sz w:val="24"/>
                <w:lang w:eastAsia="zh-CN"/>
              </w:rPr>
            </w:pPr>
            <w:r>
              <w:rPr>
                <w:rFonts w:hint="eastAsia" w:ascii="黑体" w:hAnsi="宋体" w:eastAsia="黑体" w:cs="宋体"/>
                <w:color w:val="000000"/>
                <w:kern w:val="0"/>
                <w:sz w:val="24"/>
                <w:lang w:eastAsia="zh-CN"/>
              </w:rPr>
              <w:t>评价维度</w:t>
            </w:r>
          </w:p>
        </w:tc>
        <w:tc>
          <w:tcPr>
            <w:tcW w:w="7410" w:type="dxa"/>
            <w:noWrap/>
            <w:vAlign w:val="center"/>
          </w:tcPr>
          <w:p>
            <w:pPr>
              <w:widowControl/>
              <w:spacing w:line="320" w:lineRule="exact"/>
              <w:jc w:val="center"/>
              <w:rPr>
                <w:rFonts w:hint="eastAsia" w:ascii="黑体" w:hAnsi="宋体" w:eastAsia="黑体" w:cs="宋体"/>
                <w:color w:val="000000"/>
                <w:kern w:val="0"/>
                <w:sz w:val="24"/>
                <w:lang w:eastAsia="zh-CN"/>
              </w:rPr>
            </w:pPr>
            <w:r>
              <w:rPr>
                <w:rFonts w:hint="eastAsia" w:ascii="黑体" w:hAnsi="宋体" w:eastAsia="黑体" w:cs="宋体"/>
                <w:color w:val="000000"/>
                <w:kern w:val="0"/>
                <w:sz w:val="24"/>
                <w:lang w:eastAsia="zh-CN"/>
              </w:rPr>
              <w:t>评价要点</w:t>
            </w:r>
          </w:p>
        </w:tc>
        <w:tc>
          <w:tcPr>
            <w:tcW w:w="495" w:type="dxa"/>
            <w:noWrap/>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分值</w:t>
            </w:r>
          </w:p>
        </w:tc>
        <w:tc>
          <w:tcPr>
            <w:tcW w:w="709" w:type="dxa"/>
            <w:noWrap/>
            <w:vAlign w:val="center"/>
          </w:tcPr>
          <w:p>
            <w:pPr>
              <w:widowControl/>
              <w:spacing w:line="320" w:lineRule="exact"/>
              <w:jc w:val="center"/>
              <w:rPr>
                <w:rFonts w:hint="eastAsia" w:ascii="黑体" w:hAnsi="宋体" w:eastAsia="黑体" w:cs="宋体"/>
                <w:color w:val="000000"/>
                <w:kern w:val="0"/>
                <w:sz w:val="24"/>
                <w:lang w:eastAsia="zh-CN"/>
              </w:rPr>
            </w:pPr>
            <w:r>
              <w:rPr>
                <w:rFonts w:hint="eastAsia" w:ascii="黑体" w:hAnsi="宋体" w:eastAsia="黑体" w:cs="宋体"/>
                <w:color w:val="000000"/>
                <w:kern w:val="0"/>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79" w:type="dxa"/>
            <w:vMerge w:val="restart"/>
            <w:vAlign w:val="center"/>
          </w:tcPr>
          <w:p>
            <w:pPr>
              <w:spacing w:line="420" w:lineRule="exact"/>
              <w:jc w:val="center"/>
              <w:rPr>
                <w:rFonts w:hint="eastAsia" w:ascii="黑体" w:hAnsi="宋体" w:eastAsia="黑体" w:cs="宋体"/>
                <w:color w:val="000000"/>
                <w:kern w:val="0"/>
                <w:sz w:val="24"/>
                <w:lang w:eastAsia="zh-CN"/>
              </w:rPr>
            </w:pPr>
            <w:r>
              <w:rPr>
                <w:rFonts w:hint="eastAsia" w:ascii="黑体" w:hAnsi="宋体" w:eastAsia="黑体" w:cs="宋体"/>
                <w:color w:val="000000"/>
                <w:kern w:val="0"/>
                <w:sz w:val="24"/>
                <w:lang w:eastAsia="zh-CN"/>
              </w:rPr>
              <w:t>教学设计方案（</w:t>
            </w:r>
            <w:r>
              <w:rPr>
                <w:rFonts w:hint="eastAsia" w:ascii="黑体" w:hAnsi="宋体" w:eastAsia="黑体" w:cs="宋体"/>
                <w:color w:val="000000"/>
                <w:kern w:val="0"/>
                <w:sz w:val="24"/>
                <w:lang w:val="en-US" w:eastAsia="zh-CN"/>
              </w:rPr>
              <w:t>0.4</w:t>
            </w:r>
            <w:r>
              <w:rPr>
                <w:rFonts w:hint="eastAsia" w:ascii="黑体" w:hAnsi="宋体" w:eastAsia="黑体" w:cs="宋体"/>
                <w:color w:val="000000"/>
                <w:kern w:val="0"/>
                <w:sz w:val="24"/>
                <w:lang w:eastAsia="zh-CN"/>
              </w:rPr>
              <w:t>）</w:t>
            </w:r>
          </w:p>
        </w:tc>
        <w:tc>
          <w:tcPr>
            <w:tcW w:w="1209" w:type="dxa"/>
            <w:vAlign w:val="center"/>
          </w:tcPr>
          <w:p>
            <w:pPr>
              <w:spacing w:line="4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教学目标</w:t>
            </w:r>
          </w:p>
        </w:tc>
        <w:tc>
          <w:tcPr>
            <w:tcW w:w="7410" w:type="dxa"/>
            <w:vAlign w:val="center"/>
          </w:tcPr>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1.围绕本课程教学大纲及授课对象，提炼专业课程蕴含的思政教育元素，有明确的课程思政教学目标。</w:t>
            </w:r>
          </w:p>
          <w:p>
            <w:pPr>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lang w:val="en-US" w:eastAsia="zh-CN"/>
              </w:rPr>
              <w:t>2.覆盖知识、能力和价值塑造各方面，适当包含高阶认知能力。</w:t>
            </w:r>
          </w:p>
        </w:tc>
        <w:tc>
          <w:tcPr>
            <w:tcW w:w="495" w:type="dxa"/>
            <w:noWrap/>
            <w:vAlign w:val="center"/>
          </w:tcPr>
          <w:p>
            <w:pPr>
              <w:spacing w:line="44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0</w:t>
            </w:r>
          </w:p>
        </w:tc>
        <w:tc>
          <w:tcPr>
            <w:tcW w:w="709" w:type="dxa"/>
            <w:noWrap/>
            <w:vAlign w:val="center"/>
          </w:tcPr>
          <w:p>
            <w:pPr>
              <w:spacing w:line="440" w:lineRule="exact"/>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79" w:type="dxa"/>
            <w:vMerge w:val="continue"/>
            <w:vAlign w:val="center"/>
          </w:tcPr>
          <w:p>
            <w:pPr>
              <w:spacing w:line="420" w:lineRule="exact"/>
              <w:jc w:val="center"/>
              <w:rPr>
                <w:rFonts w:hint="eastAsia" w:ascii="黑体" w:hAnsi="宋体" w:eastAsia="黑体" w:cs="宋体"/>
                <w:color w:val="000000"/>
                <w:kern w:val="0"/>
                <w:sz w:val="24"/>
              </w:rPr>
            </w:pPr>
          </w:p>
        </w:tc>
        <w:tc>
          <w:tcPr>
            <w:tcW w:w="1209" w:type="dxa"/>
            <w:vAlign w:val="center"/>
          </w:tcPr>
          <w:p>
            <w:pPr>
              <w:spacing w:line="420" w:lineRule="exact"/>
              <w:jc w:val="center"/>
              <w:rPr>
                <w:rFonts w:ascii="黑体" w:hAnsi="宋体" w:eastAsia="黑体" w:cs="宋体"/>
                <w:color w:val="000000"/>
                <w:kern w:val="0"/>
                <w:sz w:val="24"/>
                <w:highlight w:val="yellow"/>
              </w:rPr>
            </w:pPr>
            <w:r>
              <w:rPr>
                <w:rFonts w:hint="eastAsia" w:ascii="黑体" w:hAnsi="宋体" w:eastAsia="黑体" w:cs="宋体"/>
                <w:color w:val="000000"/>
                <w:kern w:val="0"/>
                <w:sz w:val="24"/>
              </w:rPr>
              <w:t>学情分析</w:t>
            </w:r>
          </w:p>
        </w:tc>
        <w:tc>
          <w:tcPr>
            <w:tcW w:w="7410" w:type="dxa"/>
            <w:vAlign w:val="center"/>
          </w:tcPr>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根据学生智力因素和非智力因素进行学情分析，能够列出学生认知特性、起点水平和情感态度准备情况、信息技术技能等。</w:t>
            </w:r>
          </w:p>
        </w:tc>
        <w:tc>
          <w:tcPr>
            <w:tcW w:w="495" w:type="dxa"/>
            <w:noWrap/>
            <w:vAlign w:val="center"/>
          </w:tcPr>
          <w:p>
            <w:pPr>
              <w:spacing w:line="44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0</w:t>
            </w:r>
          </w:p>
        </w:tc>
        <w:tc>
          <w:tcPr>
            <w:tcW w:w="709" w:type="dxa"/>
            <w:noWrap/>
            <w:vAlign w:val="center"/>
          </w:tcPr>
          <w:p>
            <w:pPr>
              <w:spacing w:line="440" w:lineRule="exact"/>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79" w:type="dxa"/>
            <w:vMerge w:val="continue"/>
            <w:vAlign w:val="center"/>
          </w:tcPr>
          <w:p>
            <w:pPr>
              <w:spacing w:line="420" w:lineRule="exact"/>
              <w:jc w:val="center"/>
              <w:rPr>
                <w:rFonts w:hint="eastAsia" w:ascii="黑体" w:hAnsi="宋体" w:eastAsia="黑体" w:cs="宋体"/>
                <w:color w:val="000000"/>
                <w:kern w:val="0"/>
                <w:sz w:val="24"/>
              </w:rPr>
            </w:pPr>
          </w:p>
        </w:tc>
        <w:tc>
          <w:tcPr>
            <w:tcW w:w="1209" w:type="dxa"/>
            <w:vAlign w:val="center"/>
          </w:tcPr>
          <w:p>
            <w:pPr>
              <w:spacing w:line="420" w:lineRule="exact"/>
              <w:jc w:val="center"/>
              <w:rPr>
                <w:rFonts w:ascii="黑体" w:hAnsi="宋体" w:eastAsia="黑体" w:cs="宋体"/>
                <w:color w:val="000000"/>
                <w:kern w:val="0"/>
                <w:sz w:val="24"/>
              </w:rPr>
            </w:pPr>
            <w:r>
              <w:rPr>
                <w:rFonts w:hint="eastAsia" w:ascii="黑体" w:hAnsi="宋体" w:eastAsia="黑体" w:cs="宋体"/>
                <w:color w:val="000000"/>
                <w:kern w:val="0"/>
                <w:sz w:val="24"/>
              </w:rPr>
              <w:t>课</w:t>
            </w:r>
            <w:r>
              <w:rPr>
                <w:rFonts w:hint="eastAsia" w:ascii="黑体" w:hAnsi="宋体" w:eastAsia="黑体" w:cs="宋体"/>
                <w:color w:val="000000"/>
                <w:kern w:val="0"/>
                <w:sz w:val="24"/>
                <w:lang w:eastAsia="zh-CN"/>
              </w:rPr>
              <w:t>程思政</w:t>
            </w:r>
            <w:r>
              <w:rPr>
                <w:rFonts w:hint="eastAsia" w:ascii="黑体" w:hAnsi="宋体" w:eastAsia="黑体" w:cs="宋体"/>
                <w:color w:val="000000"/>
                <w:kern w:val="0"/>
                <w:sz w:val="24"/>
              </w:rPr>
              <w:t>教学内容</w:t>
            </w:r>
          </w:p>
        </w:tc>
        <w:tc>
          <w:tcPr>
            <w:tcW w:w="7410" w:type="dxa"/>
            <w:vAlign w:val="center"/>
          </w:tcPr>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1.能够深度挖掘提炼专业知识中所蕴含的思想价值和精神内涵，思政教育元素选取适当，与课程内容联系紧密。</w:t>
            </w:r>
          </w:p>
          <w:p>
            <w:pPr>
              <w:spacing w:line="400" w:lineRule="exact"/>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2.教学内容与思政教育元素整合精当、巧妙，结合学生思想实际，突出思想引领，润物无声。</w:t>
            </w:r>
          </w:p>
        </w:tc>
        <w:tc>
          <w:tcPr>
            <w:tcW w:w="495" w:type="dxa"/>
            <w:noWrap/>
            <w:vAlign w:val="center"/>
          </w:tcPr>
          <w:p>
            <w:pPr>
              <w:spacing w:line="44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5</w:t>
            </w:r>
          </w:p>
        </w:tc>
        <w:tc>
          <w:tcPr>
            <w:tcW w:w="709" w:type="dxa"/>
            <w:noWrap/>
            <w:vAlign w:val="center"/>
          </w:tcPr>
          <w:p>
            <w:pPr>
              <w:spacing w:line="440" w:lineRule="exact"/>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779" w:type="dxa"/>
            <w:vMerge w:val="continue"/>
            <w:vAlign w:val="center"/>
          </w:tcPr>
          <w:p>
            <w:pPr>
              <w:spacing w:line="420" w:lineRule="exact"/>
              <w:jc w:val="center"/>
              <w:rPr>
                <w:rFonts w:hint="eastAsia" w:ascii="黑体" w:hAnsi="宋体" w:eastAsia="黑体" w:cs="宋体"/>
                <w:color w:val="000000"/>
                <w:kern w:val="0"/>
                <w:sz w:val="24"/>
              </w:rPr>
            </w:pPr>
          </w:p>
        </w:tc>
        <w:tc>
          <w:tcPr>
            <w:tcW w:w="1209" w:type="dxa"/>
            <w:vAlign w:val="center"/>
          </w:tcPr>
          <w:p>
            <w:pPr>
              <w:spacing w:line="420" w:lineRule="exact"/>
              <w:jc w:val="center"/>
              <w:rPr>
                <w:rFonts w:hint="eastAsia" w:ascii="黑体" w:hAnsi="宋体" w:eastAsia="黑体" w:cs="宋体"/>
                <w:color w:val="000000"/>
                <w:kern w:val="0"/>
                <w:sz w:val="24"/>
                <w:lang w:eastAsia="zh-CN"/>
              </w:rPr>
            </w:pPr>
            <w:r>
              <w:rPr>
                <w:rFonts w:hint="eastAsia" w:ascii="黑体" w:hAnsi="宋体" w:eastAsia="黑体" w:cs="宋体"/>
                <w:color w:val="000000"/>
                <w:kern w:val="0"/>
                <w:sz w:val="24"/>
              </w:rPr>
              <w:t>教学方法</w:t>
            </w:r>
            <w:r>
              <w:rPr>
                <w:rFonts w:hint="eastAsia" w:ascii="黑体" w:hAnsi="宋体" w:eastAsia="黑体" w:cs="宋体"/>
                <w:color w:val="000000"/>
                <w:kern w:val="0"/>
                <w:sz w:val="24"/>
                <w:lang w:eastAsia="zh-CN"/>
              </w:rPr>
              <w:t>与手段</w:t>
            </w:r>
          </w:p>
        </w:tc>
        <w:tc>
          <w:tcPr>
            <w:tcW w:w="7410" w:type="dxa"/>
            <w:vAlign w:val="center"/>
          </w:tcPr>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1.遵照学生的认知规律恰当选择教学方法、举措和载体途径，注重多种教学方法的优化组合。</w:t>
            </w:r>
          </w:p>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2.注重模式、策略的创新，以有效提升学生学习效果为主要目标，体现创新性、启发性、互动性和实效性，易于实现思想政治教育目标。</w:t>
            </w:r>
          </w:p>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3.教学手段上推动现代教育技术与课程思政的深度融合，将思政教育巧妙渗透到教学过程中，教学活动组织灵活。</w:t>
            </w:r>
          </w:p>
          <w:p>
            <w:pPr>
              <w:spacing w:line="400" w:lineRule="exact"/>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4.课程考核中能将思政元素融入课程过程考核和结果考核所涵盖的知识、能力和素质中。</w:t>
            </w:r>
          </w:p>
        </w:tc>
        <w:tc>
          <w:tcPr>
            <w:tcW w:w="495" w:type="dxa"/>
            <w:noWrap/>
            <w:vAlign w:val="center"/>
          </w:tcPr>
          <w:p>
            <w:pPr>
              <w:spacing w:line="440" w:lineRule="exact"/>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709" w:type="dxa"/>
            <w:noWrap/>
            <w:vAlign w:val="center"/>
          </w:tcPr>
          <w:p>
            <w:pPr>
              <w:spacing w:line="440" w:lineRule="exact"/>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79" w:type="dxa"/>
            <w:vMerge w:val="continue"/>
            <w:vAlign w:val="center"/>
          </w:tcPr>
          <w:p>
            <w:pPr>
              <w:spacing w:line="420" w:lineRule="exact"/>
              <w:jc w:val="center"/>
              <w:rPr>
                <w:rFonts w:hint="eastAsia" w:ascii="黑体" w:hAnsi="宋体" w:eastAsia="黑体" w:cs="宋体"/>
                <w:color w:val="000000"/>
                <w:kern w:val="0"/>
                <w:sz w:val="24"/>
              </w:rPr>
            </w:pPr>
          </w:p>
        </w:tc>
        <w:tc>
          <w:tcPr>
            <w:tcW w:w="1209" w:type="dxa"/>
            <w:vAlign w:val="center"/>
          </w:tcPr>
          <w:p>
            <w:pPr>
              <w:spacing w:line="420" w:lineRule="exact"/>
              <w:jc w:val="center"/>
              <w:rPr>
                <w:rFonts w:hint="eastAsia" w:ascii="黑体" w:hAnsi="宋体" w:eastAsia="黑体" w:cs="宋体"/>
                <w:color w:val="000000"/>
                <w:kern w:val="0"/>
                <w:sz w:val="24"/>
                <w:lang w:eastAsia="zh-CN"/>
              </w:rPr>
            </w:pPr>
            <w:r>
              <w:rPr>
                <w:rFonts w:hint="eastAsia" w:ascii="黑体" w:hAnsi="宋体" w:eastAsia="黑体" w:cs="宋体"/>
                <w:color w:val="000000"/>
                <w:kern w:val="0"/>
                <w:sz w:val="24"/>
                <w:lang w:eastAsia="zh-CN"/>
              </w:rPr>
              <w:t>预期成效</w:t>
            </w:r>
          </w:p>
        </w:tc>
        <w:tc>
          <w:tcPr>
            <w:tcW w:w="7410" w:type="dxa"/>
            <w:vAlign w:val="center"/>
          </w:tcPr>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1.对该教学节段思政教学的实施效果及成果预测合理，对可能出现的问题设有解决预案。</w:t>
            </w:r>
          </w:p>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2.对与课程思政目标对应的具体成效预测合理，分析有条理。</w:t>
            </w:r>
          </w:p>
        </w:tc>
        <w:tc>
          <w:tcPr>
            <w:tcW w:w="495" w:type="dxa"/>
            <w:noWrap/>
            <w:vAlign w:val="center"/>
          </w:tcPr>
          <w:p>
            <w:pPr>
              <w:spacing w:line="440" w:lineRule="exact"/>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10</w:t>
            </w:r>
          </w:p>
        </w:tc>
        <w:tc>
          <w:tcPr>
            <w:tcW w:w="709" w:type="dxa"/>
            <w:noWrap/>
            <w:vAlign w:val="center"/>
          </w:tcPr>
          <w:p>
            <w:pPr>
              <w:spacing w:line="440" w:lineRule="exact"/>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79" w:type="dxa"/>
            <w:vMerge w:val="continue"/>
            <w:vAlign w:val="center"/>
          </w:tcPr>
          <w:p>
            <w:pPr>
              <w:spacing w:line="420" w:lineRule="exact"/>
              <w:jc w:val="center"/>
              <w:rPr>
                <w:rFonts w:hint="eastAsia" w:ascii="黑体" w:hAnsi="宋体" w:eastAsia="黑体" w:cs="宋体"/>
                <w:color w:val="000000"/>
                <w:kern w:val="0"/>
                <w:sz w:val="24"/>
              </w:rPr>
            </w:pPr>
          </w:p>
        </w:tc>
        <w:tc>
          <w:tcPr>
            <w:tcW w:w="1209" w:type="dxa"/>
            <w:vAlign w:val="center"/>
          </w:tcPr>
          <w:p>
            <w:pPr>
              <w:spacing w:line="4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教学资源与自主学习设计</w:t>
            </w:r>
          </w:p>
        </w:tc>
        <w:tc>
          <w:tcPr>
            <w:tcW w:w="7410" w:type="dxa"/>
            <w:vAlign w:val="center"/>
          </w:tcPr>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1.学习资源推介广，</w:t>
            </w:r>
            <w:r>
              <w:rPr>
                <w:rFonts w:hint="eastAsia" w:ascii="仿宋" w:hAnsi="仿宋" w:eastAsia="仿宋" w:cs="仿宋"/>
                <w:color w:val="000000"/>
                <w:kern w:val="0"/>
                <w:sz w:val="24"/>
                <w:lang w:val="en-US" w:eastAsia="zh-CN"/>
              </w:rPr>
              <w:t>与本课程相关的课程思政资源丰富、新颖。</w:t>
            </w:r>
          </w:p>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2.能够为学生搭建课外学习平台，引导学生进行自主学习和自主评价，注重培养学生自主、合作、探究能力。</w:t>
            </w:r>
          </w:p>
        </w:tc>
        <w:tc>
          <w:tcPr>
            <w:tcW w:w="495" w:type="dxa"/>
            <w:noWrap/>
            <w:vAlign w:val="center"/>
          </w:tcPr>
          <w:p>
            <w:pPr>
              <w:spacing w:line="44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0</w:t>
            </w:r>
          </w:p>
        </w:tc>
        <w:tc>
          <w:tcPr>
            <w:tcW w:w="709" w:type="dxa"/>
            <w:noWrap/>
            <w:vAlign w:val="center"/>
          </w:tcPr>
          <w:p>
            <w:pPr>
              <w:spacing w:line="440" w:lineRule="exact"/>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79" w:type="dxa"/>
            <w:vMerge w:val="continue"/>
            <w:vAlign w:val="center"/>
          </w:tcPr>
          <w:p>
            <w:pPr>
              <w:spacing w:line="420" w:lineRule="exact"/>
              <w:jc w:val="center"/>
              <w:rPr>
                <w:rFonts w:hint="eastAsia" w:ascii="黑体" w:hAnsi="宋体" w:eastAsia="黑体" w:cs="宋体"/>
                <w:color w:val="000000"/>
                <w:kern w:val="0"/>
                <w:sz w:val="24"/>
              </w:rPr>
            </w:pPr>
          </w:p>
        </w:tc>
        <w:tc>
          <w:tcPr>
            <w:tcW w:w="1209" w:type="dxa"/>
            <w:vAlign w:val="center"/>
          </w:tcPr>
          <w:p>
            <w:pPr>
              <w:spacing w:line="4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案例呈现</w:t>
            </w:r>
          </w:p>
        </w:tc>
        <w:tc>
          <w:tcPr>
            <w:tcW w:w="7410" w:type="dxa"/>
            <w:vAlign w:val="center"/>
          </w:tcPr>
          <w:p>
            <w:pPr>
              <w:spacing w:line="40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图文并茂，思路清晰，能够简洁、完整呈现“课程思政”教学设计与教学实施流程，具有推广借鉴价值。</w:t>
            </w:r>
          </w:p>
        </w:tc>
        <w:tc>
          <w:tcPr>
            <w:tcW w:w="495" w:type="dxa"/>
            <w:noWrap/>
            <w:vAlign w:val="center"/>
          </w:tcPr>
          <w:p>
            <w:pPr>
              <w:spacing w:line="440" w:lineRule="exact"/>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10</w:t>
            </w:r>
          </w:p>
        </w:tc>
        <w:tc>
          <w:tcPr>
            <w:tcW w:w="709" w:type="dxa"/>
            <w:noWrap/>
            <w:vAlign w:val="center"/>
          </w:tcPr>
          <w:p>
            <w:pPr>
              <w:spacing w:line="440" w:lineRule="exact"/>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9" w:type="dxa"/>
            <w:vMerge w:val="continue"/>
            <w:vAlign w:val="center"/>
          </w:tcPr>
          <w:p>
            <w:pPr>
              <w:widowControl/>
              <w:spacing w:line="480" w:lineRule="exact"/>
              <w:jc w:val="center"/>
              <w:rPr>
                <w:rFonts w:hint="eastAsia" w:ascii="黑体" w:hAnsi="宋体" w:eastAsia="黑体" w:cs="宋体"/>
                <w:color w:val="000000"/>
                <w:kern w:val="0"/>
                <w:sz w:val="24"/>
              </w:rPr>
            </w:pPr>
          </w:p>
        </w:tc>
        <w:tc>
          <w:tcPr>
            <w:tcW w:w="8619" w:type="dxa"/>
            <w:gridSpan w:val="2"/>
            <w:vAlign w:val="center"/>
          </w:tcPr>
          <w:p>
            <w:pPr>
              <w:widowControl/>
              <w:spacing w:line="480" w:lineRule="exact"/>
              <w:jc w:val="center"/>
              <w:rPr>
                <w:rFonts w:ascii="仿宋" w:hAnsi="仿宋" w:eastAsia="仿宋" w:cs="仿宋"/>
                <w:color w:val="000000"/>
                <w:sz w:val="24"/>
              </w:rPr>
            </w:pPr>
            <w:r>
              <w:rPr>
                <w:rFonts w:hint="eastAsia" w:ascii="黑体" w:hAnsi="宋体" w:eastAsia="黑体" w:cs="宋体"/>
                <w:color w:val="000000"/>
                <w:kern w:val="0"/>
                <w:sz w:val="24"/>
              </w:rPr>
              <w:t>总分</w:t>
            </w:r>
          </w:p>
        </w:tc>
        <w:tc>
          <w:tcPr>
            <w:tcW w:w="1204" w:type="dxa"/>
            <w:gridSpan w:val="2"/>
            <w:noWrap/>
            <w:vAlign w:val="center"/>
          </w:tcPr>
          <w:p>
            <w:pPr>
              <w:spacing w:line="440" w:lineRule="exact"/>
              <w:jc w:val="center"/>
              <w:rPr>
                <w:rFonts w:hint="eastAsia" w:ascii="仿宋" w:hAnsi="仿宋" w:eastAsia="仿宋" w:cs="仿宋"/>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281" w:firstLineChars="100"/>
        <w:jc w:val="center"/>
        <w:textAlignment w:val="auto"/>
        <w:rPr>
          <w:szCs w:val="21"/>
        </w:rPr>
      </w:pPr>
      <w:r>
        <w:rPr>
          <w:rFonts w:hint="eastAsia" w:ascii="仿宋_GB2312" w:hAnsi="仿宋_GB2312" w:eastAsia="仿宋_GB2312" w:cs="仿宋_GB2312"/>
          <w:b/>
          <w:bCs/>
          <w:sz w:val="28"/>
          <w:szCs w:val="28"/>
          <w:lang w:val="en-US" w:eastAsia="zh-CN"/>
        </w:rPr>
        <w:t xml:space="preserve"> </w:t>
      </w:r>
      <w:bookmarkStart w:id="0" w:name="_GoBack"/>
      <w:bookmarkEnd w:id="0"/>
      <w:r>
        <w:rPr>
          <w:rFonts w:hint="eastAsia" w:ascii="仿宋_GB2312" w:hAnsi="仿宋_GB2312" w:eastAsia="仿宋_GB2312" w:cs="仿宋_GB2312"/>
          <w:b/>
          <w:bCs/>
          <w:sz w:val="28"/>
          <w:szCs w:val="28"/>
        </w:rPr>
        <w:t>评委签字:</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2023</w:t>
      </w:r>
      <w:r>
        <w:rPr>
          <w:rFonts w:hint="eastAsia" w:ascii="仿宋_GB2312" w:hAnsi="仿宋_GB2312" w:eastAsia="仿宋_GB2312" w:cs="仿宋_GB2312"/>
          <w:b/>
          <w:bCs/>
          <w:sz w:val="28"/>
          <w:szCs w:val="28"/>
        </w:rPr>
        <w:t xml:space="preserve">年 </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 xml:space="preserve">月 </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日</w:t>
      </w:r>
    </w:p>
    <w:p>
      <w:pPr>
        <w:spacing w:line="440" w:lineRule="exact"/>
        <w:jc w:val="left"/>
        <w:rPr>
          <w:rFonts w:hint="eastAsia" w:ascii="黑体" w:eastAsia="黑体"/>
          <w:sz w:val="32"/>
          <w:szCs w:val="32"/>
          <w:lang w:eastAsia="zh-CN"/>
        </w:rPr>
      </w:pPr>
      <w:r>
        <w:rPr>
          <w:rFonts w:hint="eastAsia" w:ascii="仿宋_GB2312" w:hAnsi="仿宋_GB2312" w:eastAsia="仿宋_GB2312" w:cs="仿宋_GB2312"/>
          <w:sz w:val="28"/>
          <w:szCs w:val="28"/>
        </w:rPr>
        <w:t>附件3</w:t>
      </w:r>
      <w:r>
        <w:rPr>
          <w:rFonts w:hint="eastAsia" w:ascii="仿宋_GB2312" w:hAnsi="仿宋_GB2312" w:eastAsia="仿宋_GB2312" w:cs="仿宋_GB2312"/>
          <w:sz w:val="28"/>
          <w:szCs w:val="28"/>
          <w:lang w:val="en-US" w:eastAsia="zh-CN"/>
        </w:rPr>
        <w:t>-2</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313" w:afterLines="100" w:line="440" w:lineRule="exact"/>
        <w:jc w:val="center"/>
        <w:textAlignment w:val="auto"/>
        <w:rPr>
          <w:rFonts w:hint="eastAsia" w:ascii="黑体" w:eastAsia="黑体"/>
          <w:sz w:val="32"/>
          <w:szCs w:val="32"/>
        </w:rPr>
      </w:pPr>
      <w:r>
        <w:rPr>
          <w:rFonts w:hint="eastAsia" w:ascii="黑体" w:eastAsia="黑体"/>
          <w:sz w:val="32"/>
          <w:szCs w:val="32"/>
          <w:lang w:eastAsia="zh-CN"/>
        </w:rPr>
        <w:t>“</w:t>
      </w:r>
      <w:r>
        <w:rPr>
          <w:rFonts w:hint="eastAsia" w:ascii="黑体" w:eastAsia="黑体"/>
          <w:sz w:val="32"/>
          <w:szCs w:val="32"/>
        </w:rPr>
        <w:t>课程思政</w:t>
      </w:r>
      <w:r>
        <w:rPr>
          <w:rFonts w:hint="eastAsia" w:ascii="黑体" w:eastAsia="黑体"/>
          <w:sz w:val="32"/>
          <w:szCs w:val="32"/>
          <w:lang w:eastAsia="zh-CN"/>
        </w:rPr>
        <w:t>”现场评审</w:t>
      </w:r>
      <w:r>
        <w:rPr>
          <w:rFonts w:hint="eastAsia" w:ascii="黑体" w:eastAsia="黑体"/>
          <w:sz w:val="32"/>
          <w:szCs w:val="32"/>
        </w:rPr>
        <w:t>评</w:t>
      </w:r>
      <w:r>
        <w:rPr>
          <w:rFonts w:hint="eastAsia" w:ascii="黑体" w:eastAsia="黑体"/>
          <w:sz w:val="32"/>
          <w:szCs w:val="32"/>
          <w:lang w:eastAsia="zh-CN"/>
        </w:rPr>
        <w:t>价</w:t>
      </w:r>
      <w:r>
        <w:rPr>
          <w:rFonts w:hint="eastAsia" w:ascii="黑体" w:eastAsia="黑体"/>
          <w:sz w:val="32"/>
          <w:szCs w:val="32"/>
        </w:rPr>
        <w:t>标准</w:t>
      </w:r>
      <w:r>
        <w:rPr>
          <w:rFonts w:hint="eastAsia" w:ascii="黑体" w:eastAsia="黑体"/>
          <w:sz w:val="32"/>
          <w:szCs w:val="32"/>
          <w:lang w:eastAsia="zh-CN"/>
        </w:rPr>
        <w:t>及评分表</w:t>
      </w:r>
    </w:p>
    <w:p>
      <w:pPr>
        <w:numPr>
          <w:numId w:val="0"/>
        </w:numPr>
        <w:spacing w:before="156" w:beforeLines="50" w:after="156" w:afterLines="50" w:line="440" w:lineRule="exact"/>
        <w:ind w:firstLine="1440" w:firstLineChars="600"/>
        <w:jc w:val="both"/>
        <w:rPr>
          <w:rFonts w:hint="default" w:ascii="黑体" w:eastAsia="黑体"/>
          <w:sz w:val="24"/>
          <w:szCs w:val="24"/>
          <w:u w:val="single"/>
          <w:lang w:val="en-US"/>
        </w:rPr>
      </w:pPr>
      <w:r>
        <w:rPr>
          <w:rFonts w:hint="eastAsia" w:ascii="黑体" w:eastAsia="黑体"/>
          <w:sz w:val="24"/>
          <w:szCs w:val="24"/>
          <w:lang w:eastAsia="zh-CN"/>
        </w:rPr>
        <w:t>序号</w:t>
      </w:r>
      <w:r>
        <w:rPr>
          <w:rFonts w:hint="eastAsia" w:ascii="黑体" w:eastAsia="黑体"/>
          <w:sz w:val="24"/>
          <w:szCs w:val="24"/>
          <w:u w:val="single"/>
          <w:lang w:val="en-US" w:eastAsia="zh-CN"/>
        </w:rPr>
        <w:t xml:space="preserve">        </w:t>
      </w:r>
      <w:r>
        <w:rPr>
          <w:rFonts w:hint="eastAsia" w:ascii="黑体" w:eastAsia="黑体"/>
          <w:sz w:val="24"/>
          <w:szCs w:val="24"/>
          <w:u w:val="none"/>
          <w:lang w:val="en-US" w:eastAsia="zh-CN"/>
        </w:rPr>
        <w:t xml:space="preserve">              参赛教师</w:t>
      </w:r>
      <w:r>
        <w:rPr>
          <w:rFonts w:hint="eastAsia" w:ascii="黑体" w:eastAsia="黑体"/>
          <w:sz w:val="24"/>
          <w:szCs w:val="24"/>
          <w:u w:val="single"/>
          <w:lang w:val="en-US" w:eastAsia="zh-CN"/>
        </w:rPr>
        <w:t xml:space="preserve">              </w:t>
      </w:r>
    </w:p>
    <w:tbl>
      <w:tblPr>
        <w:tblStyle w:val="4"/>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15"/>
        <w:gridCol w:w="6405"/>
        <w:gridCol w:w="58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评价项目</w:t>
            </w: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评价维度</w:t>
            </w:r>
          </w:p>
        </w:tc>
        <w:tc>
          <w:tcPr>
            <w:tcW w:w="64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评价要点</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rPr>
              <w:t>分</w:t>
            </w:r>
            <w:r>
              <w:rPr>
                <w:rFonts w:hint="eastAsia" w:ascii="黑体" w:hAnsi="黑体" w:eastAsia="黑体" w:cs="黑体"/>
                <w:b w:val="0"/>
                <w:bCs/>
                <w:sz w:val="24"/>
                <w:szCs w:val="24"/>
                <w:lang w:eastAsia="zh-CN"/>
              </w:rPr>
              <w:t>值</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763" w:type="dxa"/>
            <w:vMerge w:val="restart"/>
            <w:tcBorders>
              <w:top w:val="single" w:color="auto" w:sz="4" w:space="0"/>
              <w:left w:val="single" w:color="auto" w:sz="4" w:space="0"/>
              <w:right w:val="single" w:color="auto" w:sz="4" w:space="0"/>
            </w:tcBorders>
            <w:vAlign w:val="center"/>
          </w:tcPr>
          <w:p>
            <w:pPr>
              <w:snapToGrid w:val="0"/>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现场教学展示（</w:t>
            </w:r>
            <w:r>
              <w:rPr>
                <w:rFonts w:hint="eastAsia" w:ascii="黑体" w:hAnsi="黑体" w:eastAsia="黑体" w:cs="黑体"/>
                <w:b w:val="0"/>
                <w:bCs/>
                <w:sz w:val="24"/>
                <w:szCs w:val="24"/>
                <w:lang w:val="en-US" w:eastAsia="zh-CN"/>
              </w:rPr>
              <w:t>0.6</w:t>
            </w:r>
            <w:r>
              <w:rPr>
                <w:rFonts w:hint="eastAsia" w:ascii="黑体" w:hAnsi="黑体" w:eastAsia="黑体" w:cs="黑体"/>
                <w:b w:val="0"/>
                <w:bCs/>
                <w:sz w:val="24"/>
                <w:szCs w:val="24"/>
                <w:lang w:eastAsia="zh-CN"/>
              </w:rPr>
              <w:t>）</w:t>
            </w:r>
          </w:p>
        </w:tc>
        <w:tc>
          <w:tcPr>
            <w:tcW w:w="1215" w:type="dxa"/>
            <w:tcBorders>
              <w:top w:val="single" w:color="auto" w:sz="4" w:space="0"/>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教师素养</w:t>
            </w:r>
          </w:p>
        </w:tc>
        <w:tc>
          <w:tcPr>
            <w:tcW w:w="6405" w:type="dxa"/>
            <w:tcBorders>
              <w:top w:val="single" w:color="auto" w:sz="4" w:space="0"/>
              <w:left w:val="single" w:color="auto" w:sz="4" w:space="0"/>
              <w:right w:val="single" w:color="auto" w:sz="4" w:space="0"/>
            </w:tcBorders>
            <w:vAlign w:val="center"/>
          </w:tcPr>
          <w:p>
            <w:pPr>
              <w:snapToGrid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政治立场坚定，有强烈家国情怀，具有良好的专业素养、科学精神、人文情怀</w:t>
            </w:r>
            <w:r>
              <w:rPr>
                <w:rFonts w:hint="eastAsia" w:ascii="仿宋" w:hAnsi="仿宋" w:eastAsia="仿宋" w:cs="仿宋"/>
                <w:sz w:val="24"/>
                <w:szCs w:val="24"/>
                <w:lang w:eastAsia="zh-CN"/>
              </w:rPr>
              <w:t>。</w:t>
            </w:r>
          </w:p>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为人师表，教态大方，举止得体，备课充分，精神饱满，思路清晰，条理分明。</w:t>
            </w:r>
          </w:p>
        </w:tc>
        <w:tc>
          <w:tcPr>
            <w:tcW w:w="585" w:type="dxa"/>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1002" w:type="dxa"/>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763" w:type="dxa"/>
            <w:vMerge w:val="continue"/>
            <w:tcBorders>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教学内容</w:t>
            </w:r>
          </w:p>
        </w:tc>
        <w:tc>
          <w:tcPr>
            <w:tcW w:w="640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围绕本课程教学大纲及授课对象，提炼专业课程蕴含的思政教育元素，有明确的课程思政教学目标</w:t>
            </w:r>
            <w:r>
              <w:rPr>
                <w:rFonts w:hint="eastAsia" w:ascii="仿宋" w:hAnsi="仿宋" w:eastAsia="仿宋" w:cs="仿宋"/>
                <w:sz w:val="24"/>
                <w:szCs w:val="24"/>
                <w:lang w:eastAsia="zh-CN"/>
              </w:rPr>
              <w:t>。</w:t>
            </w:r>
          </w:p>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课程设计方面能将思政教育巧妙渗透到教学全过程中。教学目标、教学内容和教学方法中能体现出“课程思政”痕迹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注重引用和挖掘与本课程相关的课程思政资源，使用或启动编写高质量的配套教材。</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25</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763" w:type="dxa"/>
            <w:vMerge w:val="continue"/>
            <w:tcBorders>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p>
        </w:tc>
        <w:tc>
          <w:tcPr>
            <w:tcW w:w="1215" w:type="dxa"/>
            <w:tcBorders>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教学改革</w:t>
            </w:r>
          </w:p>
        </w:tc>
        <w:tc>
          <w:tcPr>
            <w:tcW w:w="6405" w:type="dxa"/>
            <w:tcBorders>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采用多样化的教学方法，如启发式</w:t>
            </w:r>
            <w:r>
              <w:rPr>
                <w:rFonts w:hint="eastAsia" w:ascii="仿宋" w:hAnsi="仿宋" w:eastAsia="仿宋" w:cs="仿宋"/>
                <w:sz w:val="24"/>
                <w:szCs w:val="24"/>
                <w:lang w:eastAsia="zh-CN"/>
              </w:rPr>
              <w:t>、</w:t>
            </w:r>
            <w:r>
              <w:rPr>
                <w:rFonts w:hint="eastAsia" w:ascii="仿宋" w:hAnsi="仿宋" w:eastAsia="仿宋" w:cs="仿宋"/>
                <w:sz w:val="24"/>
                <w:szCs w:val="24"/>
              </w:rPr>
              <w:t>案例式</w:t>
            </w:r>
            <w:r>
              <w:rPr>
                <w:rFonts w:hint="eastAsia" w:ascii="仿宋" w:hAnsi="仿宋" w:eastAsia="仿宋" w:cs="仿宋"/>
                <w:sz w:val="24"/>
                <w:szCs w:val="24"/>
                <w:lang w:eastAsia="zh-CN"/>
              </w:rPr>
              <w:t>、</w:t>
            </w:r>
            <w:r>
              <w:rPr>
                <w:rFonts w:hint="eastAsia" w:ascii="仿宋" w:hAnsi="仿宋" w:eastAsia="仿宋" w:cs="仿宋"/>
                <w:sz w:val="24"/>
                <w:szCs w:val="24"/>
              </w:rPr>
              <w:t>延伸阅读式</w:t>
            </w:r>
            <w:r>
              <w:rPr>
                <w:rFonts w:hint="eastAsia" w:ascii="仿宋" w:hAnsi="仿宋" w:eastAsia="仿宋" w:cs="仿宋"/>
                <w:sz w:val="24"/>
                <w:szCs w:val="24"/>
                <w:lang w:eastAsia="zh-CN"/>
              </w:rPr>
              <w:t>、</w:t>
            </w:r>
            <w:r>
              <w:rPr>
                <w:rFonts w:hint="eastAsia" w:ascii="仿宋" w:hAnsi="仿宋" w:eastAsia="仿宋" w:cs="仿宋"/>
                <w:sz w:val="24"/>
                <w:szCs w:val="24"/>
              </w:rPr>
              <w:t>研讨式上PBL等帮助学生树立正确的“三观”。</w:t>
            </w:r>
          </w:p>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教学手段上推动现代教育技术与课程思政的深度融合，将思政教育巧妙渗透到教学过程中，教学内容呈现恰当，教学活动组织不生硬。</w:t>
            </w:r>
          </w:p>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课程考核中能将思政元素融入课程过程考核和结果考核所涵盖的知识、能力和素质中。</w:t>
            </w:r>
          </w:p>
        </w:tc>
        <w:tc>
          <w:tcPr>
            <w:tcW w:w="585" w:type="dxa"/>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25</w:t>
            </w:r>
          </w:p>
        </w:tc>
        <w:tc>
          <w:tcPr>
            <w:tcW w:w="1002" w:type="dxa"/>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atLeast"/>
          <w:jc w:val="center"/>
        </w:trPr>
        <w:tc>
          <w:tcPr>
            <w:tcW w:w="763" w:type="dxa"/>
            <w:vMerge w:val="continue"/>
            <w:tcBorders>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p>
        </w:tc>
        <w:tc>
          <w:tcPr>
            <w:tcW w:w="1215" w:type="dxa"/>
            <w:tcBorders>
              <w:top w:val="single" w:color="auto" w:sz="4" w:space="0"/>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教学效果</w:t>
            </w:r>
          </w:p>
        </w:tc>
        <w:tc>
          <w:tcPr>
            <w:tcW w:w="6405" w:type="dxa"/>
            <w:tcBorders>
              <w:top w:val="single" w:color="auto" w:sz="4" w:space="0"/>
              <w:left w:val="single" w:color="auto" w:sz="4" w:space="0"/>
              <w:right w:val="single" w:color="auto" w:sz="4" w:space="0"/>
            </w:tcBorders>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1.注重思想政治教育和价值引领，有效达成教学目标，效果明显。</w:t>
            </w:r>
          </w:p>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2.教学语言规范、教学逻辑严谨，感染力强，课堂教学气氛好。</w:t>
            </w:r>
          </w:p>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3.能够为学生搭建或延伸使用课外学习平台，引导学生进行自主学习和自主评价。</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20</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63" w:type="dxa"/>
            <w:vMerge w:val="continue"/>
            <w:tcBorders>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r>
              <w:rPr>
                <w:rFonts w:hint="eastAsia" w:ascii="黑体" w:hAnsi="黑体" w:eastAsia="黑体" w:cs="黑体"/>
                <w:b w:val="0"/>
                <w:bCs/>
                <w:sz w:val="24"/>
                <w:szCs w:val="24"/>
              </w:rPr>
              <w:t>特色创新</w:t>
            </w:r>
          </w:p>
        </w:tc>
        <w:tc>
          <w:tcPr>
            <w:tcW w:w="640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rPr>
              <w:t>个人教学特色突出。思政育人效果好，特色鲜明，具有较强的示范性。</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63" w:type="dxa"/>
            <w:vMerge w:val="continue"/>
            <w:tcBorders>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现场答辩</w:t>
            </w:r>
          </w:p>
        </w:tc>
        <w:tc>
          <w:tcPr>
            <w:tcW w:w="640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审题准确，突出重点；围绕话题，思路清晰，表述流畅；逻辑性强，具有感染力；从容自然，心理素质好。</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63" w:type="dxa"/>
            <w:vMerge w:val="continue"/>
            <w:tcBorders>
              <w:left w:val="single" w:color="auto" w:sz="4" w:space="0"/>
              <w:right w:val="single" w:color="auto" w:sz="4" w:space="0"/>
            </w:tcBorders>
            <w:vAlign w:val="center"/>
          </w:tcPr>
          <w:p>
            <w:pPr>
              <w:snapToGrid w:val="0"/>
              <w:jc w:val="center"/>
              <w:rPr>
                <w:rFonts w:hint="eastAsia" w:ascii="黑体" w:hAnsi="黑体" w:eastAsia="黑体" w:cs="黑体"/>
                <w:b w:val="0"/>
                <w:bCs/>
                <w:sz w:val="24"/>
                <w:szCs w:val="24"/>
              </w:rPr>
            </w:pPr>
          </w:p>
        </w:tc>
        <w:tc>
          <w:tcPr>
            <w:tcW w:w="7620" w:type="dxa"/>
            <w:gridSpan w:val="2"/>
            <w:tcBorders>
              <w:top w:val="single" w:color="auto" w:sz="4" w:space="0"/>
              <w:left w:val="single" w:color="auto" w:sz="4" w:space="0"/>
              <w:right w:val="single" w:color="auto" w:sz="4" w:space="0"/>
            </w:tcBorders>
            <w:vAlign w:val="center"/>
          </w:tcPr>
          <w:p>
            <w:pPr>
              <w:snapToGrid w:val="0"/>
              <w:ind w:firstLine="391" w:firstLineChars="163"/>
              <w:jc w:val="center"/>
              <w:rPr>
                <w:rFonts w:hint="eastAsia" w:ascii="仿宋" w:hAnsi="仿宋" w:eastAsia="仿宋" w:cs="仿宋"/>
                <w:sz w:val="24"/>
                <w:szCs w:val="24"/>
                <w:lang w:eastAsia="zh-CN"/>
              </w:rPr>
            </w:pPr>
            <w:r>
              <w:rPr>
                <w:rFonts w:hint="eastAsia" w:ascii="黑体" w:hAnsi="黑体" w:eastAsia="黑体" w:cs="黑体"/>
                <w:sz w:val="24"/>
                <w:szCs w:val="24"/>
                <w:lang w:eastAsia="zh-CN"/>
              </w:rPr>
              <w:t>总分</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eastAsia="黑体"/>
          <w:sz w:val="32"/>
          <w:szCs w:val="32"/>
        </w:rPr>
      </w:pPr>
      <w:r>
        <w:rPr>
          <w:rFonts w:hint="eastAsia" w:ascii="仿宋_GB2312" w:hAnsi="仿宋_GB2312" w:eastAsia="仿宋_GB2312" w:cs="仿宋_GB2312"/>
          <w:b/>
          <w:bCs/>
          <w:sz w:val="28"/>
          <w:szCs w:val="28"/>
        </w:rPr>
        <w:t>评委签字:</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2023</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 xml:space="preserve">年 </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 xml:space="preserve">月 </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日</w:t>
      </w:r>
    </w:p>
    <w:sectPr>
      <w:footerReference r:id="rId3" w:type="default"/>
      <w:pgSz w:w="11906" w:h="16838"/>
      <w:pgMar w:top="1553" w:right="1800" w:bottom="155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E4546"/>
    <w:multiLevelType w:val="singleLevel"/>
    <w:tmpl w:val="BD1E4546"/>
    <w:lvl w:ilvl="0" w:tentative="0">
      <w:start w:val="2"/>
      <w:numFmt w:val="chineseCounting"/>
      <w:suff w:val="nothing"/>
      <w:lvlText w:val="%1、"/>
      <w:lvlJc w:val="left"/>
      <w:rPr>
        <w:rFonts w:hint="eastAsia"/>
      </w:rPr>
    </w:lvl>
  </w:abstractNum>
  <w:abstractNum w:abstractNumId="1">
    <w:nsid w:val="F176ABBE"/>
    <w:multiLevelType w:val="singleLevel"/>
    <w:tmpl w:val="F176AB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zI1NzVhZDUwNmEyNmIzODJlZWJkMDZiZjcxM2EifQ=="/>
  </w:docVars>
  <w:rsids>
    <w:rsidRoot w:val="3CFC7EB2"/>
    <w:rsid w:val="00000332"/>
    <w:rsid w:val="00002DC6"/>
    <w:rsid w:val="00005334"/>
    <w:rsid w:val="00007B49"/>
    <w:rsid w:val="0001122A"/>
    <w:rsid w:val="00017683"/>
    <w:rsid w:val="00022487"/>
    <w:rsid w:val="00023AC4"/>
    <w:rsid w:val="000256E6"/>
    <w:rsid w:val="0002670D"/>
    <w:rsid w:val="00030535"/>
    <w:rsid w:val="00034CB0"/>
    <w:rsid w:val="00037B34"/>
    <w:rsid w:val="00041979"/>
    <w:rsid w:val="00054CD2"/>
    <w:rsid w:val="00055571"/>
    <w:rsid w:val="00057C04"/>
    <w:rsid w:val="00060541"/>
    <w:rsid w:val="000637BE"/>
    <w:rsid w:val="00063EEB"/>
    <w:rsid w:val="00066B27"/>
    <w:rsid w:val="00071F85"/>
    <w:rsid w:val="00074A76"/>
    <w:rsid w:val="00074CDF"/>
    <w:rsid w:val="00075DA3"/>
    <w:rsid w:val="0008136C"/>
    <w:rsid w:val="0008353F"/>
    <w:rsid w:val="00086301"/>
    <w:rsid w:val="000864B5"/>
    <w:rsid w:val="00087042"/>
    <w:rsid w:val="00090E84"/>
    <w:rsid w:val="0009480F"/>
    <w:rsid w:val="000A0356"/>
    <w:rsid w:val="000A18DA"/>
    <w:rsid w:val="000A2974"/>
    <w:rsid w:val="000A300E"/>
    <w:rsid w:val="000A3EE2"/>
    <w:rsid w:val="000A6F29"/>
    <w:rsid w:val="000A74EC"/>
    <w:rsid w:val="000B1C31"/>
    <w:rsid w:val="000B2385"/>
    <w:rsid w:val="000C7E0D"/>
    <w:rsid w:val="000D165F"/>
    <w:rsid w:val="000D2EE6"/>
    <w:rsid w:val="000D3489"/>
    <w:rsid w:val="000D7078"/>
    <w:rsid w:val="000E6B4B"/>
    <w:rsid w:val="000F0B6C"/>
    <w:rsid w:val="000F1623"/>
    <w:rsid w:val="000F3376"/>
    <w:rsid w:val="001015E4"/>
    <w:rsid w:val="001037C7"/>
    <w:rsid w:val="0010467C"/>
    <w:rsid w:val="00106B99"/>
    <w:rsid w:val="0011294D"/>
    <w:rsid w:val="00114799"/>
    <w:rsid w:val="00114F82"/>
    <w:rsid w:val="00121338"/>
    <w:rsid w:val="0012158F"/>
    <w:rsid w:val="00124377"/>
    <w:rsid w:val="0012617F"/>
    <w:rsid w:val="00132DC8"/>
    <w:rsid w:val="001332EB"/>
    <w:rsid w:val="00136303"/>
    <w:rsid w:val="0014029D"/>
    <w:rsid w:val="00147920"/>
    <w:rsid w:val="00147F21"/>
    <w:rsid w:val="0015138D"/>
    <w:rsid w:val="00151BE2"/>
    <w:rsid w:val="00153063"/>
    <w:rsid w:val="00153919"/>
    <w:rsid w:val="0016281A"/>
    <w:rsid w:val="00163921"/>
    <w:rsid w:val="001644CF"/>
    <w:rsid w:val="001651B5"/>
    <w:rsid w:val="0016578F"/>
    <w:rsid w:val="00167D16"/>
    <w:rsid w:val="0017055C"/>
    <w:rsid w:val="00172F7F"/>
    <w:rsid w:val="001751AE"/>
    <w:rsid w:val="00183CCC"/>
    <w:rsid w:val="00185C57"/>
    <w:rsid w:val="00190CAE"/>
    <w:rsid w:val="00191334"/>
    <w:rsid w:val="001944BC"/>
    <w:rsid w:val="00195CCA"/>
    <w:rsid w:val="001A2DA7"/>
    <w:rsid w:val="001A6C0C"/>
    <w:rsid w:val="001B0844"/>
    <w:rsid w:val="001B156B"/>
    <w:rsid w:val="001B4698"/>
    <w:rsid w:val="001B6F94"/>
    <w:rsid w:val="001D15EC"/>
    <w:rsid w:val="001D1D1E"/>
    <w:rsid w:val="001D4193"/>
    <w:rsid w:val="001D5980"/>
    <w:rsid w:val="001D630C"/>
    <w:rsid w:val="001D73CA"/>
    <w:rsid w:val="001E0AC6"/>
    <w:rsid w:val="001E5FB0"/>
    <w:rsid w:val="001E642C"/>
    <w:rsid w:val="001F2381"/>
    <w:rsid w:val="001F78DE"/>
    <w:rsid w:val="001F79B2"/>
    <w:rsid w:val="0020380C"/>
    <w:rsid w:val="00205C23"/>
    <w:rsid w:val="00206C7D"/>
    <w:rsid w:val="00207518"/>
    <w:rsid w:val="00210592"/>
    <w:rsid w:val="00211920"/>
    <w:rsid w:val="002162BF"/>
    <w:rsid w:val="00216545"/>
    <w:rsid w:val="002266C0"/>
    <w:rsid w:val="00226C4F"/>
    <w:rsid w:val="00240CDA"/>
    <w:rsid w:val="00245FFC"/>
    <w:rsid w:val="00246A27"/>
    <w:rsid w:val="00251011"/>
    <w:rsid w:val="00251084"/>
    <w:rsid w:val="0025304E"/>
    <w:rsid w:val="00253604"/>
    <w:rsid w:val="002625D2"/>
    <w:rsid w:val="00263670"/>
    <w:rsid w:val="00263FAD"/>
    <w:rsid w:val="00266494"/>
    <w:rsid w:val="002707DC"/>
    <w:rsid w:val="002734F1"/>
    <w:rsid w:val="00277605"/>
    <w:rsid w:val="00282804"/>
    <w:rsid w:val="00283273"/>
    <w:rsid w:val="002839C0"/>
    <w:rsid w:val="002A3DD8"/>
    <w:rsid w:val="002B1E8D"/>
    <w:rsid w:val="002B689D"/>
    <w:rsid w:val="002C1A4B"/>
    <w:rsid w:val="002C23E8"/>
    <w:rsid w:val="002C59DE"/>
    <w:rsid w:val="002C6DAF"/>
    <w:rsid w:val="002D04B9"/>
    <w:rsid w:val="002D3EB5"/>
    <w:rsid w:val="002D5334"/>
    <w:rsid w:val="002D7462"/>
    <w:rsid w:val="002E586E"/>
    <w:rsid w:val="002F3E18"/>
    <w:rsid w:val="002F4699"/>
    <w:rsid w:val="00300395"/>
    <w:rsid w:val="003076C4"/>
    <w:rsid w:val="00311A32"/>
    <w:rsid w:val="003143D3"/>
    <w:rsid w:val="003177A6"/>
    <w:rsid w:val="003177F6"/>
    <w:rsid w:val="00317CCB"/>
    <w:rsid w:val="00317DD5"/>
    <w:rsid w:val="003212B3"/>
    <w:rsid w:val="00331D06"/>
    <w:rsid w:val="0033259B"/>
    <w:rsid w:val="003355DE"/>
    <w:rsid w:val="00344BA7"/>
    <w:rsid w:val="00344BD1"/>
    <w:rsid w:val="00346556"/>
    <w:rsid w:val="00353E8B"/>
    <w:rsid w:val="003728F5"/>
    <w:rsid w:val="00373A4A"/>
    <w:rsid w:val="0038021D"/>
    <w:rsid w:val="00381435"/>
    <w:rsid w:val="00382149"/>
    <w:rsid w:val="00392A58"/>
    <w:rsid w:val="003A0930"/>
    <w:rsid w:val="003A1251"/>
    <w:rsid w:val="003A6436"/>
    <w:rsid w:val="003B0C2E"/>
    <w:rsid w:val="003B219C"/>
    <w:rsid w:val="003D47A2"/>
    <w:rsid w:val="003D4A10"/>
    <w:rsid w:val="003D608F"/>
    <w:rsid w:val="003E4611"/>
    <w:rsid w:val="003E5197"/>
    <w:rsid w:val="003E5832"/>
    <w:rsid w:val="003F2CA0"/>
    <w:rsid w:val="003F38EA"/>
    <w:rsid w:val="003F7EB8"/>
    <w:rsid w:val="00405319"/>
    <w:rsid w:val="004204D3"/>
    <w:rsid w:val="00420AF5"/>
    <w:rsid w:val="004244EE"/>
    <w:rsid w:val="00424FAD"/>
    <w:rsid w:val="004310D6"/>
    <w:rsid w:val="004313ED"/>
    <w:rsid w:val="004422C6"/>
    <w:rsid w:val="00442777"/>
    <w:rsid w:val="00442996"/>
    <w:rsid w:val="0044555D"/>
    <w:rsid w:val="00446109"/>
    <w:rsid w:val="00446A53"/>
    <w:rsid w:val="00451687"/>
    <w:rsid w:val="00453D48"/>
    <w:rsid w:val="00461441"/>
    <w:rsid w:val="004623E4"/>
    <w:rsid w:val="00481647"/>
    <w:rsid w:val="00490CDF"/>
    <w:rsid w:val="00497BDB"/>
    <w:rsid w:val="004A620F"/>
    <w:rsid w:val="004B1EF7"/>
    <w:rsid w:val="004B2869"/>
    <w:rsid w:val="004C172A"/>
    <w:rsid w:val="004C18B3"/>
    <w:rsid w:val="004C6B32"/>
    <w:rsid w:val="004C6B49"/>
    <w:rsid w:val="004D2B01"/>
    <w:rsid w:val="004D33A2"/>
    <w:rsid w:val="004D5DC5"/>
    <w:rsid w:val="004E2D93"/>
    <w:rsid w:val="004E763E"/>
    <w:rsid w:val="004F06B9"/>
    <w:rsid w:val="00500C27"/>
    <w:rsid w:val="005061BD"/>
    <w:rsid w:val="00510E97"/>
    <w:rsid w:val="005157B6"/>
    <w:rsid w:val="005246F1"/>
    <w:rsid w:val="00524EE3"/>
    <w:rsid w:val="00527647"/>
    <w:rsid w:val="00537EAA"/>
    <w:rsid w:val="005461B9"/>
    <w:rsid w:val="00551E77"/>
    <w:rsid w:val="00555138"/>
    <w:rsid w:val="00556619"/>
    <w:rsid w:val="00561DC3"/>
    <w:rsid w:val="005623D4"/>
    <w:rsid w:val="005668C0"/>
    <w:rsid w:val="00574933"/>
    <w:rsid w:val="00574B49"/>
    <w:rsid w:val="00574BA5"/>
    <w:rsid w:val="00585332"/>
    <w:rsid w:val="00586104"/>
    <w:rsid w:val="0059281E"/>
    <w:rsid w:val="00596A00"/>
    <w:rsid w:val="005A4A02"/>
    <w:rsid w:val="005A538A"/>
    <w:rsid w:val="005B053D"/>
    <w:rsid w:val="005B0C22"/>
    <w:rsid w:val="005B39DE"/>
    <w:rsid w:val="005B6999"/>
    <w:rsid w:val="005C1F43"/>
    <w:rsid w:val="005C6966"/>
    <w:rsid w:val="005C6A99"/>
    <w:rsid w:val="005D3AD0"/>
    <w:rsid w:val="005D67F4"/>
    <w:rsid w:val="005D6F31"/>
    <w:rsid w:val="005D7547"/>
    <w:rsid w:val="005E5515"/>
    <w:rsid w:val="005E55E5"/>
    <w:rsid w:val="005F44E2"/>
    <w:rsid w:val="005F51F9"/>
    <w:rsid w:val="00603674"/>
    <w:rsid w:val="00603D7E"/>
    <w:rsid w:val="00607B16"/>
    <w:rsid w:val="00611F40"/>
    <w:rsid w:val="0061438F"/>
    <w:rsid w:val="00614972"/>
    <w:rsid w:val="00616890"/>
    <w:rsid w:val="006168C3"/>
    <w:rsid w:val="00621B8B"/>
    <w:rsid w:val="006231BA"/>
    <w:rsid w:val="0062524E"/>
    <w:rsid w:val="006268A2"/>
    <w:rsid w:val="00631F72"/>
    <w:rsid w:val="006326DE"/>
    <w:rsid w:val="00653509"/>
    <w:rsid w:val="00653617"/>
    <w:rsid w:val="00656026"/>
    <w:rsid w:val="00656620"/>
    <w:rsid w:val="00666A5B"/>
    <w:rsid w:val="00667730"/>
    <w:rsid w:val="00670455"/>
    <w:rsid w:val="00672607"/>
    <w:rsid w:val="00676246"/>
    <w:rsid w:val="006766A0"/>
    <w:rsid w:val="0068271B"/>
    <w:rsid w:val="006842EA"/>
    <w:rsid w:val="00694175"/>
    <w:rsid w:val="006A064C"/>
    <w:rsid w:val="006A0D58"/>
    <w:rsid w:val="006A251B"/>
    <w:rsid w:val="006B3E05"/>
    <w:rsid w:val="006C0C7C"/>
    <w:rsid w:val="006C5417"/>
    <w:rsid w:val="006D0245"/>
    <w:rsid w:val="006D1083"/>
    <w:rsid w:val="006D2848"/>
    <w:rsid w:val="006D4600"/>
    <w:rsid w:val="006E3891"/>
    <w:rsid w:val="006E4572"/>
    <w:rsid w:val="006E597F"/>
    <w:rsid w:val="006E5B33"/>
    <w:rsid w:val="006F0F40"/>
    <w:rsid w:val="006F1808"/>
    <w:rsid w:val="006F2A17"/>
    <w:rsid w:val="006F6F2D"/>
    <w:rsid w:val="00702BC0"/>
    <w:rsid w:val="007032EB"/>
    <w:rsid w:val="00707DC2"/>
    <w:rsid w:val="00712D1F"/>
    <w:rsid w:val="00712F33"/>
    <w:rsid w:val="007162F0"/>
    <w:rsid w:val="00717C1D"/>
    <w:rsid w:val="00720B3F"/>
    <w:rsid w:val="007259D7"/>
    <w:rsid w:val="007340F4"/>
    <w:rsid w:val="007361E8"/>
    <w:rsid w:val="00740268"/>
    <w:rsid w:val="00745D7D"/>
    <w:rsid w:val="00750E4B"/>
    <w:rsid w:val="00751F5F"/>
    <w:rsid w:val="00752AF6"/>
    <w:rsid w:val="007549A2"/>
    <w:rsid w:val="007551E3"/>
    <w:rsid w:val="00761B8B"/>
    <w:rsid w:val="007643B0"/>
    <w:rsid w:val="007664B5"/>
    <w:rsid w:val="0077042D"/>
    <w:rsid w:val="0077554E"/>
    <w:rsid w:val="00776265"/>
    <w:rsid w:val="00776CD9"/>
    <w:rsid w:val="007815B3"/>
    <w:rsid w:val="0078164D"/>
    <w:rsid w:val="00782409"/>
    <w:rsid w:val="00786A22"/>
    <w:rsid w:val="00787AF3"/>
    <w:rsid w:val="007917C3"/>
    <w:rsid w:val="00795918"/>
    <w:rsid w:val="00797816"/>
    <w:rsid w:val="007B2355"/>
    <w:rsid w:val="007B5182"/>
    <w:rsid w:val="007C56B2"/>
    <w:rsid w:val="007C6E49"/>
    <w:rsid w:val="007D2609"/>
    <w:rsid w:val="007D5124"/>
    <w:rsid w:val="007D53E9"/>
    <w:rsid w:val="007D64C2"/>
    <w:rsid w:val="007E202B"/>
    <w:rsid w:val="007E76B4"/>
    <w:rsid w:val="007F3806"/>
    <w:rsid w:val="007F6334"/>
    <w:rsid w:val="00804A92"/>
    <w:rsid w:val="00807AED"/>
    <w:rsid w:val="00810E6C"/>
    <w:rsid w:val="00810ECA"/>
    <w:rsid w:val="00812AE6"/>
    <w:rsid w:val="00813DC2"/>
    <w:rsid w:val="008149F3"/>
    <w:rsid w:val="008167F5"/>
    <w:rsid w:val="0081685F"/>
    <w:rsid w:val="00817A00"/>
    <w:rsid w:val="00824B59"/>
    <w:rsid w:val="00827E65"/>
    <w:rsid w:val="008351AB"/>
    <w:rsid w:val="00835C75"/>
    <w:rsid w:val="008373AC"/>
    <w:rsid w:val="00837772"/>
    <w:rsid w:val="008449DE"/>
    <w:rsid w:val="0085268F"/>
    <w:rsid w:val="00860E1A"/>
    <w:rsid w:val="008649B0"/>
    <w:rsid w:val="00872155"/>
    <w:rsid w:val="00875A54"/>
    <w:rsid w:val="008764A3"/>
    <w:rsid w:val="00877E2B"/>
    <w:rsid w:val="008920A0"/>
    <w:rsid w:val="008952FC"/>
    <w:rsid w:val="008B3A23"/>
    <w:rsid w:val="008B54D9"/>
    <w:rsid w:val="008B5D03"/>
    <w:rsid w:val="008B614B"/>
    <w:rsid w:val="008B63E1"/>
    <w:rsid w:val="008C0EDC"/>
    <w:rsid w:val="008C3E61"/>
    <w:rsid w:val="008C4484"/>
    <w:rsid w:val="008C6E66"/>
    <w:rsid w:val="008D3005"/>
    <w:rsid w:val="008D4C9D"/>
    <w:rsid w:val="008D72E5"/>
    <w:rsid w:val="008D7988"/>
    <w:rsid w:val="008F5D62"/>
    <w:rsid w:val="008F6291"/>
    <w:rsid w:val="00902EDA"/>
    <w:rsid w:val="0090414F"/>
    <w:rsid w:val="00904794"/>
    <w:rsid w:val="00911C76"/>
    <w:rsid w:val="00912063"/>
    <w:rsid w:val="00912AB1"/>
    <w:rsid w:val="00915FEE"/>
    <w:rsid w:val="00916DEC"/>
    <w:rsid w:val="00917E9D"/>
    <w:rsid w:val="0092242E"/>
    <w:rsid w:val="00925FCB"/>
    <w:rsid w:val="00931AFA"/>
    <w:rsid w:val="00931EBF"/>
    <w:rsid w:val="0093612C"/>
    <w:rsid w:val="00936139"/>
    <w:rsid w:val="00946A4F"/>
    <w:rsid w:val="00950E7D"/>
    <w:rsid w:val="009511D8"/>
    <w:rsid w:val="00952AD9"/>
    <w:rsid w:val="0095665C"/>
    <w:rsid w:val="00960BDC"/>
    <w:rsid w:val="0096124C"/>
    <w:rsid w:val="009613E5"/>
    <w:rsid w:val="009624EB"/>
    <w:rsid w:val="009726EC"/>
    <w:rsid w:val="009777B0"/>
    <w:rsid w:val="009806A9"/>
    <w:rsid w:val="00983CC7"/>
    <w:rsid w:val="00985F2F"/>
    <w:rsid w:val="009872B0"/>
    <w:rsid w:val="009874EE"/>
    <w:rsid w:val="00995371"/>
    <w:rsid w:val="009A0BE5"/>
    <w:rsid w:val="009A1447"/>
    <w:rsid w:val="009A343B"/>
    <w:rsid w:val="009A3E20"/>
    <w:rsid w:val="009A47E5"/>
    <w:rsid w:val="009A4EBF"/>
    <w:rsid w:val="009A5FA6"/>
    <w:rsid w:val="009A6040"/>
    <w:rsid w:val="009B299B"/>
    <w:rsid w:val="009B5EB7"/>
    <w:rsid w:val="009C0446"/>
    <w:rsid w:val="009C42D3"/>
    <w:rsid w:val="009D0762"/>
    <w:rsid w:val="009D11CE"/>
    <w:rsid w:val="009D19BE"/>
    <w:rsid w:val="009E4FC4"/>
    <w:rsid w:val="009F1828"/>
    <w:rsid w:val="009F215F"/>
    <w:rsid w:val="009F48B2"/>
    <w:rsid w:val="009F63B9"/>
    <w:rsid w:val="00A040E9"/>
    <w:rsid w:val="00A11DED"/>
    <w:rsid w:val="00A131F2"/>
    <w:rsid w:val="00A1380B"/>
    <w:rsid w:val="00A139A2"/>
    <w:rsid w:val="00A22E41"/>
    <w:rsid w:val="00A315BE"/>
    <w:rsid w:val="00A372AF"/>
    <w:rsid w:val="00A43F6B"/>
    <w:rsid w:val="00A458F0"/>
    <w:rsid w:val="00A5183C"/>
    <w:rsid w:val="00A52E09"/>
    <w:rsid w:val="00A63167"/>
    <w:rsid w:val="00A674B1"/>
    <w:rsid w:val="00A74B7E"/>
    <w:rsid w:val="00A75CD3"/>
    <w:rsid w:val="00A80C8E"/>
    <w:rsid w:val="00A82502"/>
    <w:rsid w:val="00A82A31"/>
    <w:rsid w:val="00A84680"/>
    <w:rsid w:val="00A90C90"/>
    <w:rsid w:val="00A91B7E"/>
    <w:rsid w:val="00A937F9"/>
    <w:rsid w:val="00A95488"/>
    <w:rsid w:val="00A97303"/>
    <w:rsid w:val="00AA1641"/>
    <w:rsid w:val="00AB05D9"/>
    <w:rsid w:val="00AB069A"/>
    <w:rsid w:val="00AB16F9"/>
    <w:rsid w:val="00AB2DAF"/>
    <w:rsid w:val="00AB402C"/>
    <w:rsid w:val="00AC4DAD"/>
    <w:rsid w:val="00AC60B0"/>
    <w:rsid w:val="00AD0120"/>
    <w:rsid w:val="00AD1C7C"/>
    <w:rsid w:val="00AE1166"/>
    <w:rsid w:val="00AE42DF"/>
    <w:rsid w:val="00AE4731"/>
    <w:rsid w:val="00AF2687"/>
    <w:rsid w:val="00AF4DE3"/>
    <w:rsid w:val="00AF689F"/>
    <w:rsid w:val="00B023E4"/>
    <w:rsid w:val="00B05833"/>
    <w:rsid w:val="00B100A1"/>
    <w:rsid w:val="00B108E7"/>
    <w:rsid w:val="00B10A19"/>
    <w:rsid w:val="00B232C4"/>
    <w:rsid w:val="00B26BBE"/>
    <w:rsid w:val="00B30E40"/>
    <w:rsid w:val="00B35DC4"/>
    <w:rsid w:val="00B360A3"/>
    <w:rsid w:val="00B4315F"/>
    <w:rsid w:val="00B44D32"/>
    <w:rsid w:val="00B508E9"/>
    <w:rsid w:val="00B50D03"/>
    <w:rsid w:val="00B67739"/>
    <w:rsid w:val="00B677CB"/>
    <w:rsid w:val="00B67953"/>
    <w:rsid w:val="00B725B6"/>
    <w:rsid w:val="00B80004"/>
    <w:rsid w:val="00B81A28"/>
    <w:rsid w:val="00B829CA"/>
    <w:rsid w:val="00B84133"/>
    <w:rsid w:val="00B86F32"/>
    <w:rsid w:val="00B9341A"/>
    <w:rsid w:val="00B9559D"/>
    <w:rsid w:val="00B97F1D"/>
    <w:rsid w:val="00BB143B"/>
    <w:rsid w:val="00BB1AFE"/>
    <w:rsid w:val="00BB2D62"/>
    <w:rsid w:val="00BB517E"/>
    <w:rsid w:val="00BB76B4"/>
    <w:rsid w:val="00BC5BF3"/>
    <w:rsid w:val="00BC7AB7"/>
    <w:rsid w:val="00BE0B71"/>
    <w:rsid w:val="00BE57C3"/>
    <w:rsid w:val="00BF14AD"/>
    <w:rsid w:val="00BF2034"/>
    <w:rsid w:val="00BF385D"/>
    <w:rsid w:val="00BF3ED4"/>
    <w:rsid w:val="00C15B92"/>
    <w:rsid w:val="00C17CE8"/>
    <w:rsid w:val="00C2058B"/>
    <w:rsid w:val="00C321EB"/>
    <w:rsid w:val="00C32B62"/>
    <w:rsid w:val="00C3571D"/>
    <w:rsid w:val="00C4152D"/>
    <w:rsid w:val="00C43A9E"/>
    <w:rsid w:val="00C442BC"/>
    <w:rsid w:val="00C50ACC"/>
    <w:rsid w:val="00C535C2"/>
    <w:rsid w:val="00C54E84"/>
    <w:rsid w:val="00C65BC8"/>
    <w:rsid w:val="00C74336"/>
    <w:rsid w:val="00C74813"/>
    <w:rsid w:val="00C75048"/>
    <w:rsid w:val="00C82395"/>
    <w:rsid w:val="00C82910"/>
    <w:rsid w:val="00C8436B"/>
    <w:rsid w:val="00C90C4C"/>
    <w:rsid w:val="00C9587C"/>
    <w:rsid w:val="00C9746F"/>
    <w:rsid w:val="00CA38A9"/>
    <w:rsid w:val="00CA4E90"/>
    <w:rsid w:val="00CB1460"/>
    <w:rsid w:val="00CB3EEE"/>
    <w:rsid w:val="00CB6F14"/>
    <w:rsid w:val="00CC08B5"/>
    <w:rsid w:val="00CC46D8"/>
    <w:rsid w:val="00CC64D2"/>
    <w:rsid w:val="00CC7689"/>
    <w:rsid w:val="00CC77AF"/>
    <w:rsid w:val="00CD123D"/>
    <w:rsid w:val="00CD31E6"/>
    <w:rsid w:val="00CD4ED8"/>
    <w:rsid w:val="00CD7CB0"/>
    <w:rsid w:val="00CF0D29"/>
    <w:rsid w:val="00CF2A0A"/>
    <w:rsid w:val="00CF2E26"/>
    <w:rsid w:val="00CF6CE0"/>
    <w:rsid w:val="00D0672A"/>
    <w:rsid w:val="00D071E3"/>
    <w:rsid w:val="00D1150F"/>
    <w:rsid w:val="00D159FF"/>
    <w:rsid w:val="00D35C03"/>
    <w:rsid w:val="00D5343A"/>
    <w:rsid w:val="00D544D2"/>
    <w:rsid w:val="00D61652"/>
    <w:rsid w:val="00D6200D"/>
    <w:rsid w:val="00D678CF"/>
    <w:rsid w:val="00D7205B"/>
    <w:rsid w:val="00D72560"/>
    <w:rsid w:val="00D754B4"/>
    <w:rsid w:val="00D8092E"/>
    <w:rsid w:val="00D84C92"/>
    <w:rsid w:val="00D8517B"/>
    <w:rsid w:val="00D90B26"/>
    <w:rsid w:val="00D92148"/>
    <w:rsid w:val="00D9439C"/>
    <w:rsid w:val="00D9503C"/>
    <w:rsid w:val="00D96C66"/>
    <w:rsid w:val="00DA0FFB"/>
    <w:rsid w:val="00DB06F0"/>
    <w:rsid w:val="00DB07A0"/>
    <w:rsid w:val="00DB3D56"/>
    <w:rsid w:val="00DB4409"/>
    <w:rsid w:val="00DC4B71"/>
    <w:rsid w:val="00DC514F"/>
    <w:rsid w:val="00DD22AB"/>
    <w:rsid w:val="00DD5D92"/>
    <w:rsid w:val="00DD5F7B"/>
    <w:rsid w:val="00DE1A4F"/>
    <w:rsid w:val="00DE6BB7"/>
    <w:rsid w:val="00DF05E0"/>
    <w:rsid w:val="00DF2EB2"/>
    <w:rsid w:val="00DF3F18"/>
    <w:rsid w:val="00DF4147"/>
    <w:rsid w:val="00DF5F71"/>
    <w:rsid w:val="00E0081D"/>
    <w:rsid w:val="00E01ACE"/>
    <w:rsid w:val="00E036E6"/>
    <w:rsid w:val="00E04DDC"/>
    <w:rsid w:val="00E07C5A"/>
    <w:rsid w:val="00E10553"/>
    <w:rsid w:val="00E139B7"/>
    <w:rsid w:val="00E14ABB"/>
    <w:rsid w:val="00E16EB4"/>
    <w:rsid w:val="00E17ACA"/>
    <w:rsid w:val="00E246D0"/>
    <w:rsid w:val="00E251B1"/>
    <w:rsid w:val="00E277EC"/>
    <w:rsid w:val="00E27F59"/>
    <w:rsid w:val="00E30AEC"/>
    <w:rsid w:val="00E32656"/>
    <w:rsid w:val="00E36328"/>
    <w:rsid w:val="00E40E46"/>
    <w:rsid w:val="00E50F63"/>
    <w:rsid w:val="00E51E9A"/>
    <w:rsid w:val="00E51FDE"/>
    <w:rsid w:val="00E61EE3"/>
    <w:rsid w:val="00E63B33"/>
    <w:rsid w:val="00E66550"/>
    <w:rsid w:val="00E67676"/>
    <w:rsid w:val="00E67A24"/>
    <w:rsid w:val="00E749FF"/>
    <w:rsid w:val="00E75B76"/>
    <w:rsid w:val="00E776E7"/>
    <w:rsid w:val="00E77E41"/>
    <w:rsid w:val="00E81FBA"/>
    <w:rsid w:val="00E925A7"/>
    <w:rsid w:val="00E94AA2"/>
    <w:rsid w:val="00EA6EB3"/>
    <w:rsid w:val="00EB0424"/>
    <w:rsid w:val="00EB0A47"/>
    <w:rsid w:val="00EB284B"/>
    <w:rsid w:val="00EC14AA"/>
    <w:rsid w:val="00EC698E"/>
    <w:rsid w:val="00ED0112"/>
    <w:rsid w:val="00ED2296"/>
    <w:rsid w:val="00ED6B55"/>
    <w:rsid w:val="00EE1FE5"/>
    <w:rsid w:val="00EE35A5"/>
    <w:rsid w:val="00EE44C8"/>
    <w:rsid w:val="00EE4B4C"/>
    <w:rsid w:val="00EE5489"/>
    <w:rsid w:val="00EE7123"/>
    <w:rsid w:val="00EE7813"/>
    <w:rsid w:val="00EF107F"/>
    <w:rsid w:val="00EF11F3"/>
    <w:rsid w:val="00EF54C2"/>
    <w:rsid w:val="00EF597C"/>
    <w:rsid w:val="00EF700D"/>
    <w:rsid w:val="00F0117C"/>
    <w:rsid w:val="00F01480"/>
    <w:rsid w:val="00F05B5E"/>
    <w:rsid w:val="00F10A6B"/>
    <w:rsid w:val="00F13B7B"/>
    <w:rsid w:val="00F14657"/>
    <w:rsid w:val="00F15FB9"/>
    <w:rsid w:val="00F23F89"/>
    <w:rsid w:val="00F30EA4"/>
    <w:rsid w:val="00F34C0E"/>
    <w:rsid w:val="00F36958"/>
    <w:rsid w:val="00F36960"/>
    <w:rsid w:val="00F36FC9"/>
    <w:rsid w:val="00F37755"/>
    <w:rsid w:val="00F406A0"/>
    <w:rsid w:val="00F42BBF"/>
    <w:rsid w:val="00F442BF"/>
    <w:rsid w:val="00F45C85"/>
    <w:rsid w:val="00F500AB"/>
    <w:rsid w:val="00F62CD1"/>
    <w:rsid w:val="00F62D8F"/>
    <w:rsid w:val="00F65787"/>
    <w:rsid w:val="00F6716C"/>
    <w:rsid w:val="00F75F63"/>
    <w:rsid w:val="00F76E06"/>
    <w:rsid w:val="00F81550"/>
    <w:rsid w:val="00F84207"/>
    <w:rsid w:val="00F90330"/>
    <w:rsid w:val="00F91094"/>
    <w:rsid w:val="00F91A80"/>
    <w:rsid w:val="00F9323F"/>
    <w:rsid w:val="00F93673"/>
    <w:rsid w:val="00FA0EE2"/>
    <w:rsid w:val="00FA3178"/>
    <w:rsid w:val="00FA390E"/>
    <w:rsid w:val="00FB423B"/>
    <w:rsid w:val="00FB6D79"/>
    <w:rsid w:val="00FB6ED9"/>
    <w:rsid w:val="00FC429D"/>
    <w:rsid w:val="00FC5CEC"/>
    <w:rsid w:val="00FC78C3"/>
    <w:rsid w:val="00FD1675"/>
    <w:rsid w:val="00FE3C30"/>
    <w:rsid w:val="00FE74E5"/>
    <w:rsid w:val="00FE74F4"/>
    <w:rsid w:val="00FF5BBF"/>
    <w:rsid w:val="00FF649E"/>
    <w:rsid w:val="00FF7944"/>
    <w:rsid w:val="0805588B"/>
    <w:rsid w:val="0A4A44A6"/>
    <w:rsid w:val="0FDF0D69"/>
    <w:rsid w:val="11CB2908"/>
    <w:rsid w:val="14EC0958"/>
    <w:rsid w:val="183F456B"/>
    <w:rsid w:val="1A26633B"/>
    <w:rsid w:val="1AC03F0D"/>
    <w:rsid w:val="1ADA6B24"/>
    <w:rsid w:val="1C6164AF"/>
    <w:rsid w:val="20B45212"/>
    <w:rsid w:val="23645B24"/>
    <w:rsid w:val="27856BA4"/>
    <w:rsid w:val="292C4875"/>
    <w:rsid w:val="2CC113FE"/>
    <w:rsid w:val="2D50487E"/>
    <w:rsid w:val="30740B8D"/>
    <w:rsid w:val="31F6203D"/>
    <w:rsid w:val="3408123B"/>
    <w:rsid w:val="35D16B4D"/>
    <w:rsid w:val="38C552FA"/>
    <w:rsid w:val="38DF25A5"/>
    <w:rsid w:val="3A2D4A6A"/>
    <w:rsid w:val="3CFC7EB2"/>
    <w:rsid w:val="3F22563C"/>
    <w:rsid w:val="41A02701"/>
    <w:rsid w:val="45BF1829"/>
    <w:rsid w:val="4D590AF2"/>
    <w:rsid w:val="4E792611"/>
    <w:rsid w:val="59BA03AC"/>
    <w:rsid w:val="5A02058E"/>
    <w:rsid w:val="5CE9060B"/>
    <w:rsid w:val="64622F7C"/>
    <w:rsid w:val="664A4D55"/>
    <w:rsid w:val="69564C63"/>
    <w:rsid w:val="6CBC7B76"/>
    <w:rsid w:val="7476433D"/>
    <w:rsid w:val="7755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SXC</Company>
  <Pages>2</Pages>
  <Words>1327</Words>
  <Characters>1379</Characters>
  <Lines>16</Lines>
  <Paragraphs>4</Paragraphs>
  <TotalTime>10</TotalTime>
  <ScaleCrop>false</ScaleCrop>
  <LinksUpToDate>false</LinksUpToDate>
  <CharactersWithSpaces>1526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2021-05-21T05:00:00Z</dcterms:created>
  <dc:creator>诺小盒</dc:creator>
  <cp:lastModifiedBy>教师教学发展中心/教学质量评估中心</cp:lastModifiedBy>
  <cp:lastPrinted>2023-04-06T09:59:01Z</cp:lastPrinted>
  <dcterms:modified xsi:type="dcterms:W3CDTF">2023-04-06T10:02:07Z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A95D54CECFA34D81BF8F6BD1FBD24392</vt:lpwstr>
  </property>
</Properties>
</file>